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60" w:beforeLines="50" w:line="340" w:lineRule="exact"/>
        <w:ind w:right="0" w:rightChars="0"/>
        <w:jc w:val="center"/>
        <w:textAlignment w:val="auto"/>
        <w:outlineLvl w:val="0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60" w:beforeLines="50" w:line="340" w:lineRule="exact"/>
        <w:ind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2021年度节能诊断服务意向企业名单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60" w:beforeLines="50" w:line="320" w:lineRule="exact"/>
        <w:ind w:left="0" w:leftChars="0" w:right="0" w:rightChars="0" w:firstLine="0" w:firstLineChars="0"/>
        <w:jc w:val="center"/>
        <w:textAlignment w:val="auto"/>
        <w:outlineLvl w:val="0"/>
        <w:rPr>
          <w:rFonts w:eastAsia="方正小标宋_GBK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63"/>
        <w:gridCol w:w="1001"/>
        <w:gridCol w:w="1060"/>
        <w:gridCol w:w="1783"/>
        <w:gridCol w:w="2243"/>
        <w:gridCol w:w="1681"/>
        <w:gridCol w:w="1662"/>
        <w:gridCol w:w="1622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序号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地市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区县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行业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企业名称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上年度综合能源消费量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（吨标准煤）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节能诊断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类型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  <w:highlight w:val="yellow"/>
              </w:rPr>
            </w:pPr>
            <w:r>
              <w:rPr>
                <w:rFonts w:hint="eastAsia" w:eastAsia="黑体"/>
                <w:sz w:val="24"/>
                <w:szCs w:val="24"/>
              </w:rPr>
              <w:t>提供服务的机构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中小企业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…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0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1200" w:right="0" w:rightChars="0" w:hanging="1200" w:hangingChars="400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1200" w:right="0" w:rightChars="0" w:hanging="1200" w:hangingChars="4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0"/>
          <w:szCs w:val="30"/>
        </w:rPr>
        <w:t>备注：</w:t>
      </w:r>
      <w:r>
        <w:rPr>
          <w:rFonts w:hint="eastAsia" w:eastAsia="仿宋_GB2312"/>
          <w:sz w:val="30"/>
          <w:szCs w:val="30"/>
          <w:lang w:val="en-US" w:eastAsia="zh-CN"/>
        </w:rPr>
        <w:t>1.</w:t>
      </w:r>
      <w:r>
        <w:rPr>
          <w:rFonts w:hint="eastAsia" w:eastAsia="仿宋_GB2312"/>
          <w:sz w:val="30"/>
          <w:szCs w:val="30"/>
          <w:lang w:eastAsia="zh-CN"/>
        </w:rPr>
        <w:t>如属于</w:t>
      </w:r>
      <w:r>
        <w:rPr>
          <w:rFonts w:hint="eastAsia" w:eastAsia="仿宋_GB2312"/>
          <w:sz w:val="32"/>
          <w:szCs w:val="32"/>
        </w:rPr>
        <w:t>年综合能源消费量5000吨标准煤以上的</w:t>
      </w:r>
      <w:r>
        <w:rPr>
          <w:rFonts w:hint="default" w:eastAsia="仿宋_GB2312"/>
          <w:sz w:val="32"/>
          <w:szCs w:val="32"/>
        </w:rPr>
        <w:t>化工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hint="eastAsia" w:eastAsia="仿宋_GB2312"/>
          <w:sz w:val="32"/>
          <w:szCs w:val="32"/>
          <w:lang w:eastAsia="zh-CN"/>
        </w:rPr>
        <w:t>请在备注一栏说明。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900" w:leftChars="0" w:right="0" w:rightChars="0" w:hanging="900" w:hangingChars="300"/>
        <w:jc w:val="both"/>
        <w:textAlignment w:val="auto"/>
        <w:outlineLvl w:val="9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          2.</w:t>
      </w:r>
      <w:r>
        <w:rPr>
          <w:rFonts w:eastAsia="仿宋_GB2312"/>
          <w:sz w:val="30"/>
          <w:szCs w:val="30"/>
        </w:rPr>
        <w:t>每家接受节能诊断服务的企业只对应一家机构，由同一家机构提供服务的企业应列在一起</w:t>
      </w:r>
      <w:r>
        <w:rPr>
          <w:rFonts w:hint="eastAsia" w:eastAsia="仿宋_GB2312"/>
          <w:sz w:val="30"/>
          <w:szCs w:val="30"/>
        </w:rPr>
        <w:t>，如不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900" w:leftChars="0" w:right="0" w:rightChars="0" w:hanging="900" w:hangingChars="300"/>
        <w:jc w:val="both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             </w:t>
      </w:r>
      <w:r>
        <w:rPr>
          <w:rFonts w:hint="eastAsia" w:eastAsia="仿宋_GB2312"/>
          <w:sz w:val="30"/>
          <w:szCs w:val="30"/>
        </w:rPr>
        <w:t>填报此栏，则统一安排调剂诊断机构为企业进行节能诊断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867" w:leftChars="270" w:right="0" w:rightChars="0" w:hanging="300" w:hangingChars="100"/>
        <w:jc w:val="both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lang w:val="en-US" w:eastAsia="zh-CN"/>
        </w:rPr>
        <w:t>3.</w:t>
      </w:r>
      <w:r>
        <w:rPr>
          <w:rFonts w:eastAsia="仿宋_GB2312"/>
          <w:sz w:val="30"/>
          <w:szCs w:val="30"/>
        </w:rPr>
        <w:t>节能诊断类型包括重点行业节能诊断、中小企业节能诊断、重点用能设备节能诊断、区域集中式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867" w:leftChars="270" w:right="0" w:rightChars="0" w:hanging="300" w:hangingChars="100"/>
        <w:jc w:val="both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     </w:t>
      </w:r>
      <w:r>
        <w:rPr>
          <w:rFonts w:eastAsia="仿宋_GB2312"/>
          <w:sz w:val="30"/>
          <w:szCs w:val="30"/>
        </w:rPr>
        <w:t>节能诊断和节能诊断跟踪服务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right="0" w:rightChars="0" w:firstLine="570"/>
        <w:textAlignment w:val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lang w:val="en-US" w:eastAsia="zh-CN"/>
        </w:rPr>
        <w:t>4.</w:t>
      </w:r>
      <w:r>
        <w:rPr>
          <w:rFonts w:eastAsia="仿宋_GB2312"/>
          <w:sz w:val="30"/>
          <w:szCs w:val="30"/>
        </w:rPr>
        <w:t>区域集中式节能诊断请在备注注明企业所在的工业园区、产业聚集区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1043" w:leftChars="354" w:right="0" w:rightChars="0" w:hanging="300" w:hangingChars="100"/>
        <w:jc w:val="both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5.</w:t>
      </w:r>
      <w:r>
        <w:rPr>
          <w:rFonts w:eastAsia="仿宋_GB2312"/>
          <w:sz w:val="30"/>
          <w:szCs w:val="30"/>
        </w:rPr>
        <w:t>依据《关于印发中小企业划型标准规定的通知》（工信部联企业〔2011〕300号），从业人员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1043" w:leftChars="354" w:right="0" w:rightChars="0" w:hanging="300" w:hangingChars="100"/>
        <w:jc w:val="both"/>
        <w:textAlignment w:val="auto"/>
        <w:outlineLvl w:val="9"/>
        <w:rPr>
          <w:rFonts w:eastAsia="仿宋_GB2312"/>
          <w:sz w:val="30"/>
          <w:szCs w:val="30"/>
        </w:rPr>
        <w:sectPr>
          <w:footerReference r:id="rId3" w:type="default"/>
          <w:footerReference r:id="rId4" w:type="even"/>
          <w:pgSz w:w="16838" w:h="11906" w:orient="landscape"/>
          <w:pgMar w:top="1803" w:right="1440" w:bottom="850" w:left="1440" w:header="851" w:footer="992" w:gutter="0"/>
          <w:pgNumType w:fmt="numberInDash"/>
          <w:cols w:space="720" w:num="1"/>
          <w:docGrid w:type="lines" w:linePitch="320" w:charSpace="0"/>
        </w:sect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   </w:t>
      </w:r>
      <w:r>
        <w:rPr>
          <w:rFonts w:eastAsia="仿宋_GB2312"/>
          <w:sz w:val="30"/>
          <w:szCs w:val="30"/>
        </w:rPr>
        <w:t>1000人以下或营业收入40000万元以下的为中小微型企业。其中，从业人员300人及以上，且营业收入2000万元及以上的为中型企业；从业人员20人及以上，且营业收入300万元及以上的为小型企业。如属于中小企业，请注明企业具体所属类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5276850</wp:posOffset>
              </wp:positionH>
              <wp:positionV relativeFrom="paragraph">
                <wp:posOffset>-199390</wp:posOffset>
              </wp:positionV>
              <wp:extent cx="598805" cy="3219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5.5pt;margin-top:-15.7pt;height:25.35pt;width:47.15pt;mso-position-horizontal-relative:margin;z-index:251659264;mso-width-relative:page;mso-height-relative:page;" filled="f" stroked="f" coordsize="21600,21600" o:gfxdata="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BFTE02QAAAAoBAAAPAAAAAAAAAAEAIAAAACIAAABkcnMvZG93bnJldi54bWxQSwEC&#10;FAAUAAAACACHTuJAjCoZ/7oBAABxAwAADgAAAAAAAAABACAAAAAoAQAAZHJzL2Uyb0RvYy54bWxQ&#10;SwUGAAAAAAYABgBZAQAAV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-85725</wp:posOffset>
              </wp:positionV>
              <wp:extent cx="662940" cy="3162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.75pt;height:24.9pt;width:52.2pt;mso-position-horizontal-relative:margin;z-index:251660288;mso-width-relative:page;mso-height-relative:page;" filled="f" stroked="f" coordsize="21600,21600" o:gfxdata="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ozWKfWAAAABwEAAA8AAAAAAAAAAQAgAAAAIgAAAGRycy9kb3ducmV2LnhtbFBLAQIUABQA&#10;AAAIAIdO4kDOQ8g/uQEAAHEDAAAOAAAAAAAAAAEAIAAAACU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D154A"/>
    <w:rsid w:val="272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2021-06-10T07:30:00Z</dcterms:created>
  <dc:creator></dc:creator>
  <cp:lastModifiedBy></cp:lastModifiedBy>
  <dcterms:modified xsi:type="dcterms:W3CDTF">2021-06-10T07:31:03Z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FB886641B08B4D18AA6143D25A2F7D06</vt:lpwstr>
  </property>
</Properties>
</file>